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Arial" w:cs="Arial" w:eastAsia="Arial" w:hAnsi="Arial"/>
          <w:b w:val="1"/>
          <w:sz w:val="36"/>
          <w:szCs w:val="36"/>
        </w:rPr>
      </w:pPr>
      <w:r w:rsidDel="00000000" w:rsidR="00000000" w:rsidRPr="00000000">
        <w:rPr>
          <w:rtl w:val="0"/>
        </w:rPr>
      </w:r>
    </w:p>
    <w:tbl>
      <w:tblPr>
        <w:tblStyle w:val="Table1"/>
        <w:tblW w:w="9026.0" w:type="dxa"/>
        <w:jc w:val="left"/>
        <w:tblInd w:w="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6"/>
        <w:tblGridChange w:id="0">
          <w:tblGrid>
            <w:gridCol w:w="9026"/>
          </w:tblGrid>
        </w:tblGridChange>
      </w:tblGrid>
      <w:tr>
        <w:trPr>
          <w:cantSplit w:val="0"/>
          <w:tblHeader w:val="0"/>
        </w:trPr>
        <w:tc>
          <w:tcPr>
            <w:shd w:fill="auto" w:val="clear"/>
            <w:tcMar>
              <w:top w:w="100.0" w:type="dxa"/>
              <w:left w:w="100.0" w:type="dxa"/>
              <w:bottom w:w="100.0" w:type="dxa"/>
              <w:right w:w="100.0" w:type="dxa"/>
            </w:tcMar>
          </w:tcPr>
          <w:p w:rsidR="00000000" w:rsidDel="00000000" w:rsidP="00000000" w:rsidRDefault="00000000" w:rsidRPr="00000000" w14:paraId="00000002">
            <w:pPr>
              <w:widowControl w:val="0"/>
              <w:spacing w:after="0" w:lineRule="auto"/>
              <w:jc w:val="left"/>
              <w:rPr>
                <w:rFonts w:ascii="Arial" w:cs="Arial" w:eastAsia="Arial" w:hAnsi="Arial"/>
                <w:b w:val="1"/>
                <w:highlight w:val="yellow"/>
              </w:rPr>
            </w:pPr>
            <w:bookmarkStart w:colFirst="0" w:colLast="0" w:name="_heading=h.3dy6vkm" w:id="0"/>
            <w:bookmarkEnd w:id="0"/>
            <w:r w:rsidDel="00000000" w:rsidR="00000000" w:rsidRPr="00000000">
              <w:rPr>
                <w:rFonts w:ascii="Arial" w:cs="Arial" w:eastAsia="Arial" w:hAnsi="Arial"/>
                <w:b w:val="1"/>
                <w:highlight w:val="yellow"/>
                <w:rtl w:val="0"/>
              </w:rPr>
              <w:t xml:space="preserve">PLEASE RETAIN A COPY OF THIS SCHEDULE AS THIS FORMS PART OF YOUR CALL-OFF CONTRACT</w:t>
            </w:r>
          </w:p>
        </w:tc>
      </w:tr>
    </w:tbl>
    <w:p w:rsidR="00000000" w:rsidDel="00000000" w:rsidP="00000000" w:rsidRDefault="00000000" w:rsidRPr="00000000" w14:paraId="00000003">
      <w:pPr>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04">
      <w:pPr>
        <w:keepNext w:val="1"/>
        <w:jc w:val="left"/>
        <w:rPr>
          <w:rFonts w:ascii="Arial" w:cs="Arial" w:eastAsia="Arial" w:hAnsi="Arial"/>
          <w:b w:val="1"/>
          <w:sz w:val="36"/>
          <w:szCs w:val="36"/>
        </w:rPr>
      </w:pPr>
      <w:r w:rsidDel="00000000" w:rsidR="00000000" w:rsidRPr="00000000">
        <w:rPr>
          <w:rFonts w:ascii="Arial" w:cs="Arial" w:eastAsia="Arial" w:hAnsi="Arial"/>
          <w:b w:val="1"/>
          <w:sz w:val="36"/>
          <w:szCs w:val="36"/>
          <w:rtl w:val="0"/>
        </w:rPr>
        <w:t xml:space="preserve">Joint Schedule 14 (Benchmarking)</w:t>
      </w:r>
    </w:p>
    <w:p w:rsidR="00000000" w:rsidDel="00000000" w:rsidP="00000000" w:rsidRDefault="00000000" w:rsidRPr="00000000" w14:paraId="00000005">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w:cs="Arial" w:eastAsia="Arial" w:hAnsi="Arial"/>
          <w:b w:val="1"/>
          <w:smallCaps w:val="1"/>
          <w:color w:val="000000"/>
          <w:sz w:val="24"/>
          <w:szCs w:val="24"/>
          <w:rtl w:val="0"/>
        </w:rPr>
        <w:t xml:space="preserve">DEFINITIONS</w:t>
      </w:r>
    </w:p>
    <w:p w:rsidR="00000000" w:rsidDel="00000000" w:rsidP="00000000" w:rsidRDefault="00000000" w:rsidRPr="00000000" w14:paraId="00000006">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this Schedule, the following expressions shall have the following meanings:</w:t>
      </w:r>
    </w:p>
    <w:tbl>
      <w:tblPr>
        <w:tblStyle w:val="Table2"/>
        <w:tblW w:w="8042.0" w:type="dxa"/>
        <w:jc w:val="left"/>
        <w:tblInd w:w="1008.0" w:type="dxa"/>
        <w:tblLayout w:type="fixed"/>
        <w:tblLook w:val="0400"/>
      </w:tblPr>
      <w:tblGrid>
        <w:gridCol w:w="2900"/>
        <w:gridCol w:w="5142"/>
        <w:tblGridChange w:id="0">
          <w:tblGrid>
            <w:gridCol w:w="2900"/>
            <w:gridCol w:w="5142"/>
          </w:tblGrid>
        </w:tblGridChange>
      </w:tblGrid>
      <w:tr>
        <w:trPr>
          <w:cantSplit w:val="0"/>
          <w:tblHeader w:val="0"/>
        </w:trPr>
        <w:tc>
          <w:tcPr>
            <w:shd w:fill="auto" w:val="clear"/>
          </w:tcPr>
          <w:p w:rsidR="00000000" w:rsidDel="00000000" w:rsidP="00000000" w:rsidRDefault="00000000" w:rsidRPr="00000000" w14:paraId="00000007">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"Benchmark Review"</w:t>
            </w:r>
          </w:p>
        </w:tc>
        <w:tc>
          <w:tcPr>
            <w:shd w:fill="auto" w:val="clear"/>
          </w:tcPr>
          <w:p w:rsidR="00000000" w:rsidDel="00000000" w:rsidP="00000000" w:rsidRDefault="00000000" w:rsidRPr="00000000" w14:paraId="00000008">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review of the Deliverables carried out in accordance with this Schedule to determine whether those Deliverables represent Good Value;</w:t>
            </w:r>
          </w:p>
        </w:tc>
      </w:tr>
      <w:tr>
        <w:trPr>
          <w:cantSplit w:val="0"/>
          <w:tblHeader w:val="0"/>
        </w:trPr>
        <w:tc>
          <w:tcPr>
            <w:shd w:fill="auto" w:val="clear"/>
          </w:tcPr>
          <w:p w:rsidR="00000000" w:rsidDel="00000000" w:rsidP="00000000" w:rsidRDefault="00000000" w:rsidRPr="00000000" w14:paraId="00000009">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"Benchmarked Deliverables"</w:t>
            </w:r>
          </w:p>
        </w:tc>
        <w:tc>
          <w:tcPr>
            <w:shd w:fill="auto" w:val="clear"/>
          </w:tcPr>
          <w:p w:rsidR="00000000" w:rsidDel="00000000" w:rsidP="00000000" w:rsidRDefault="00000000" w:rsidRPr="00000000" w14:paraId="0000000A">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Deliverables included within the scope of a Benchmark Review pursuant to this Schedule;</w:t>
            </w:r>
          </w:p>
        </w:tc>
      </w:tr>
      <w:tr>
        <w:trPr>
          <w:cantSplit w:val="0"/>
          <w:tblHeader w:val="0"/>
        </w:trPr>
        <w:tc>
          <w:tcPr>
            <w:shd w:fill="auto" w:val="clear"/>
          </w:tcPr>
          <w:p w:rsidR="00000000" w:rsidDel="00000000" w:rsidP="00000000" w:rsidRDefault="00000000" w:rsidRPr="00000000" w14:paraId="0000000B">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"Comparable Rates"</w:t>
            </w:r>
          </w:p>
        </w:tc>
        <w:tc>
          <w:tcPr>
            <w:shd w:fill="auto" w:val="clear"/>
          </w:tcPr>
          <w:p w:rsidR="00000000" w:rsidDel="00000000" w:rsidP="00000000" w:rsidRDefault="00000000" w:rsidRPr="00000000" w14:paraId="0000000C">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Charges for Comparable Deliverables;</w:t>
            </w:r>
          </w:p>
        </w:tc>
      </w:tr>
      <w:tr>
        <w:trPr>
          <w:cantSplit w:val="0"/>
          <w:tblHeader w:val="0"/>
        </w:trPr>
        <w:tc>
          <w:tcPr>
            <w:shd w:fill="auto" w:val="clear"/>
          </w:tcPr>
          <w:p w:rsidR="00000000" w:rsidDel="00000000" w:rsidP="00000000" w:rsidRDefault="00000000" w:rsidRPr="00000000" w14:paraId="0000000D">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"Comparable Deliverables"</w:t>
            </w:r>
          </w:p>
        </w:tc>
        <w:tc>
          <w:tcPr>
            <w:shd w:fill="auto" w:val="clear"/>
          </w:tcPr>
          <w:p w:rsidR="00000000" w:rsidDel="00000000" w:rsidP="00000000" w:rsidRDefault="00000000" w:rsidRPr="00000000" w14:paraId="0000000E">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deliverables that are identical or materially similar to the Benchmarked Deliverables (including in terms of scope, specification, volume and quality of performance) provided that if no identical or materially similar Deliverables exist in the market, the Supplier shall propose an approach for developing a comparable Deliverables benchmark;</w:t>
            </w:r>
          </w:p>
        </w:tc>
      </w:tr>
      <w:tr>
        <w:trPr>
          <w:cantSplit w:val="0"/>
          <w:tblHeader w:val="0"/>
        </w:trPr>
        <w:tc>
          <w:tcPr>
            <w:shd w:fill="auto" w:val="clear"/>
          </w:tcPr>
          <w:p w:rsidR="00000000" w:rsidDel="00000000" w:rsidP="00000000" w:rsidRDefault="00000000" w:rsidRPr="00000000" w14:paraId="0000000F">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"Comparison Group"</w:t>
            </w:r>
          </w:p>
        </w:tc>
        <w:tc>
          <w:tcPr>
            <w:shd w:fill="auto" w:val="clear"/>
          </w:tcPr>
          <w:p w:rsidR="00000000" w:rsidDel="00000000" w:rsidP="00000000" w:rsidRDefault="00000000" w:rsidRPr="00000000" w14:paraId="00000010">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sample group of organisations providing Comparable Deliverables which consists of organisations which are either of similar size to the Supplier or which are similarly structured in terms of their business and their service offering so as to be fair comparators with the Supplier or which, are best practice organisations;</w:t>
            </w:r>
          </w:p>
        </w:tc>
      </w:tr>
      <w:tr>
        <w:trPr>
          <w:cantSplit w:val="0"/>
          <w:tblHeader w:val="0"/>
        </w:trPr>
        <w:tc>
          <w:tcPr>
            <w:shd w:fill="auto" w:val="clear"/>
          </w:tcPr>
          <w:p w:rsidR="00000000" w:rsidDel="00000000" w:rsidP="00000000" w:rsidRDefault="00000000" w:rsidRPr="00000000" w14:paraId="00000011">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"Equivalent Data"</w:t>
            </w:r>
          </w:p>
        </w:tc>
        <w:tc>
          <w:tcPr>
            <w:shd w:fill="auto" w:val="clear"/>
          </w:tcPr>
          <w:p w:rsidR="00000000" w:rsidDel="00000000" w:rsidP="00000000" w:rsidRDefault="00000000" w:rsidRPr="00000000" w14:paraId="00000012">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data derived from an analysis of the Comparable Rates and/or the Comparable Deliverables (as applicable) provided by the Comparison Group;</w:t>
            </w:r>
          </w:p>
        </w:tc>
      </w:tr>
      <w:tr>
        <w:trPr>
          <w:cantSplit w:val="0"/>
          <w:tblHeader w:val="0"/>
        </w:trPr>
        <w:tc>
          <w:tcPr>
            <w:shd w:fill="auto" w:val="clear"/>
          </w:tcPr>
          <w:p w:rsidR="00000000" w:rsidDel="00000000" w:rsidP="00000000" w:rsidRDefault="00000000" w:rsidRPr="00000000" w14:paraId="00000013">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"Good Value"</w:t>
            </w:r>
          </w:p>
        </w:tc>
        <w:tc>
          <w:tcPr>
            <w:shd w:fill="auto" w:val="clear"/>
          </w:tcPr>
          <w:p w:rsidR="00000000" w:rsidDel="00000000" w:rsidP="00000000" w:rsidRDefault="00000000" w:rsidRPr="00000000" w14:paraId="00000014">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that the Benchmarked Rates are within the Upper Quartile; and</w:t>
            </w:r>
          </w:p>
        </w:tc>
      </w:tr>
      <w:tr>
        <w:trPr>
          <w:cantSplit w:val="0"/>
          <w:tblHeader w:val="0"/>
        </w:trPr>
        <w:tc>
          <w:tcPr>
            <w:shd w:fill="auto" w:val="clear"/>
          </w:tcPr>
          <w:p w:rsidR="00000000" w:rsidDel="00000000" w:rsidP="00000000" w:rsidRDefault="00000000" w:rsidRPr="00000000" w14:paraId="00000015">
            <w:pPr>
              <w:pBdr>
                <w:top w:space="0" w:sz="0" w:val="nil"/>
                <w:left w:space="0" w:sz="0" w:val="nil"/>
                <w:bottom w:space="0" w:sz="0" w:val="nil"/>
                <w:right w:space="0" w:sz="0" w:val="nil"/>
                <w:between w:space="0" w:sz="0" w:val="nil"/>
              </w:pBdr>
              <w:spacing w:after="120" w:lineRule="auto"/>
              <w:ind w:left="-108" w:firstLine="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"Upper Quartile"</w:t>
            </w:r>
          </w:p>
        </w:tc>
        <w:tc>
          <w:tcPr>
            <w:shd w:fill="auto" w:val="clear"/>
          </w:tcPr>
          <w:p w:rsidR="00000000" w:rsidDel="00000000" w:rsidP="00000000" w:rsidRDefault="00000000" w:rsidRPr="00000000" w14:paraId="00000016">
            <w:pPr>
              <w:numPr>
                <w:ilvl w:val="0"/>
                <w:numId w:val="2"/>
              </w:numPr>
              <w:pBdr>
                <w:top w:space="0" w:sz="0" w:val="nil"/>
                <w:left w:space="0" w:sz="0" w:val="nil"/>
                <w:bottom w:space="0" w:sz="0" w:val="nil"/>
                <w:right w:space="0" w:sz="0" w:val="nil"/>
                <w:between w:space="0" w:sz="0" w:val="nil"/>
              </w:pBdr>
              <w:tabs>
                <w:tab w:val="left" w:pos="175"/>
              </w:tabs>
              <w:spacing w:after="120" w:lineRule="auto"/>
              <w:ind w:left="170" w:hanging="17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 respect of Benchmarked Rates, that based on an analysis of Equivalent Data, the Benchmarked Rates, as compared to the range of prices for Comparable Deliverables, are within the top 25% in terms of best value for money for the recipients of Comparable Deliverables.</w:t>
            </w:r>
          </w:p>
        </w:tc>
      </w:tr>
    </w:tbl>
    <w:p w:rsidR="00000000" w:rsidDel="00000000" w:rsidP="00000000" w:rsidRDefault="00000000" w:rsidRPr="00000000" w14:paraId="00000017">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w:cs="Arial" w:eastAsia="Arial" w:hAnsi="Arial"/>
          <w:b w:val="1"/>
          <w:smallCaps w:val="1"/>
          <w:color w:val="000000"/>
          <w:sz w:val="24"/>
          <w:szCs w:val="24"/>
        </w:rPr>
      </w:pPr>
      <w:r w:rsidDel="00000000" w:rsidR="00000000" w:rsidRPr="00000000">
        <w:rPr>
          <w:rFonts w:ascii="Arial Bold" w:cs="Arial Bold" w:eastAsia="Arial Bold" w:hAnsi="Arial Bold"/>
          <w:b w:val="1"/>
          <w:color w:val="000000"/>
          <w:sz w:val="24"/>
          <w:szCs w:val="24"/>
          <w:rtl w:val="0"/>
        </w:rPr>
        <w:t xml:space="preserve">When you should use this Schedule</w:t>
      </w:r>
      <w:r w:rsidDel="00000000" w:rsidR="00000000" w:rsidRPr="00000000">
        <w:rPr>
          <w:rtl w:val="0"/>
        </w:rPr>
      </w:r>
    </w:p>
    <w:p w:rsidR="00000000" w:rsidDel="00000000" w:rsidP="00000000" w:rsidRDefault="00000000" w:rsidRPr="00000000" w14:paraId="00000018">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The Supplier acknowledges that the Buyer wishes to ensure that the Deliverables, represent value for money to the taxpayer throughout the Contract Period.  </w:t>
      </w:r>
      <w:r w:rsidDel="00000000" w:rsidR="00000000" w:rsidRPr="00000000">
        <w:rPr>
          <w:rtl w:val="0"/>
        </w:rPr>
      </w:r>
    </w:p>
    <w:p w:rsidR="00000000" w:rsidDel="00000000" w:rsidP="00000000" w:rsidRDefault="00000000" w:rsidRPr="00000000" w14:paraId="00000019">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This Schedule sets to ensure the Contracts represent value for money throughout and that the Buyer may terminate the Contract by issuing a Termination Notice to the Supplier if the Supplier refuses or fails to comply with its obligations as set out in Paragraphs 3 of this Schedule.</w:t>
      </w:r>
    </w:p>
    <w:p w:rsidR="00000000" w:rsidDel="00000000" w:rsidP="00000000" w:rsidRDefault="00000000" w:rsidRPr="00000000" w14:paraId="0000001A">
      <w:pPr>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Amounts payable under this Schedule shall not fall with the definition of a Cost.</w:t>
      </w:r>
    </w:p>
    <w:p w:rsidR="00000000" w:rsidDel="00000000" w:rsidP="00000000" w:rsidRDefault="00000000" w:rsidRPr="00000000" w14:paraId="0000001B">
      <w:pPr>
        <w:keepNext w:val="1"/>
        <w:numPr>
          <w:ilvl w:val="0"/>
          <w:numId w:val="1"/>
        </w:numPr>
        <w:pBdr>
          <w:top w:space="0" w:sz="0" w:val="nil"/>
          <w:left w:space="0" w:sz="0" w:val="nil"/>
          <w:bottom w:space="0" w:sz="0" w:val="nil"/>
          <w:right w:space="0" w:sz="0" w:val="nil"/>
          <w:between w:space="0" w:sz="0" w:val="nil"/>
        </w:pBdr>
        <w:tabs>
          <w:tab w:val="left" w:pos="142"/>
        </w:tabs>
        <w:spacing w:before="120" w:lineRule="auto"/>
        <w:ind w:left="360" w:hanging="360"/>
        <w:jc w:val="left"/>
        <w:rPr>
          <w:rFonts w:ascii="Arial Bold" w:cs="Arial Bold" w:eastAsia="Arial Bold" w:hAnsi="Arial Bold"/>
          <w:b w:val="1"/>
          <w:color w:val="000000"/>
          <w:sz w:val="24"/>
          <w:szCs w:val="24"/>
        </w:rPr>
      </w:pPr>
      <w:r w:rsidDel="00000000" w:rsidR="00000000" w:rsidRPr="00000000">
        <w:rPr>
          <w:rFonts w:ascii="Arial Bold" w:cs="Arial Bold" w:eastAsia="Arial Bold" w:hAnsi="Arial Bold"/>
          <w:b w:val="1"/>
          <w:color w:val="000000"/>
          <w:sz w:val="24"/>
          <w:szCs w:val="24"/>
          <w:rtl w:val="0"/>
        </w:rPr>
        <w:t xml:space="preserve">Benchmarking</w:t>
      </w:r>
    </w:p>
    <w:p w:rsidR="00000000" w:rsidDel="00000000" w:rsidP="00000000" w:rsidRDefault="00000000" w:rsidRPr="00000000" w14:paraId="0000001C">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How benchmarking works</w:t>
      </w:r>
    </w:p>
    <w:p w:rsidR="00000000" w:rsidDel="00000000" w:rsidP="00000000" w:rsidRDefault="00000000" w:rsidRPr="00000000" w14:paraId="0000001D">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and the Supplier recognise that, where specified in Framework Schedule 4 (Framework Management), the Buyer may give CCS the right to enforce the Buyer's rights under this Schedule.</w:t>
      </w:r>
    </w:p>
    <w:p w:rsidR="00000000" w:rsidDel="00000000" w:rsidP="00000000" w:rsidRDefault="00000000" w:rsidRPr="00000000" w14:paraId="0000001E">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may, by written notice to the Supplier, require a Benchmark Review of any or all of the Deliverables.</w:t>
      </w:r>
    </w:p>
    <w:p w:rsidR="00000000" w:rsidDel="00000000" w:rsidP="00000000" w:rsidRDefault="00000000" w:rsidRPr="00000000" w14:paraId="0000001F">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Buyer shall not be entitled to request a Benchmark Review during the first six (6) Month period from the Contract Commencement Date or at intervals of less than twelve (12) Months after any previous Benchmark Review. </w:t>
      </w:r>
    </w:p>
    <w:p w:rsidR="00000000" w:rsidDel="00000000" w:rsidP="00000000" w:rsidRDefault="00000000" w:rsidRPr="00000000" w14:paraId="00000020">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purpose of a Benchmark Review will be to establish whether the Benchmarked Deliverables are, individually and/or as a whole, Good Value.</w:t>
      </w:r>
    </w:p>
    <w:p w:rsidR="00000000" w:rsidDel="00000000" w:rsidP="00000000" w:rsidRDefault="00000000" w:rsidRPr="00000000" w14:paraId="00000021">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Deliverables that are to be the Benchmarked Deliverables will be identified by the Buyer in writing.</w:t>
      </w:r>
    </w:p>
    <w:p w:rsidR="00000000" w:rsidDel="00000000" w:rsidP="00000000" w:rsidRDefault="00000000" w:rsidRPr="00000000" w14:paraId="00000022">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Upon its request for a Benchmark Review the Buyer shall nominate a benchmarker.  The Supplier must approve the nomination within ten (10) Working Days unless the Supplier provides a reasonable explanation for rejecting the appointment.   If the appointment is rejected then the Buyer may propose an alternative benchmarker.  If the Parties cannot agree the appointment within twenty (20) days of the initial request for Benchmark review then a benchmarker shall be selected by the Chartered Institute of Financial Accountants. </w:t>
      </w:r>
    </w:p>
    <w:p w:rsidR="00000000" w:rsidDel="00000000" w:rsidP="00000000" w:rsidRDefault="00000000" w:rsidRPr="00000000" w14:paraId="00000023">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cost of a benchmarker shall be borne by the Buyer (provided that each Party shall bear its own internal costs of the Benchmark Review) except where the Benchmark Review demonstrates that the Benchmarked Service and/or the Benchmarked Deliverables are not Good Value, in which case the Parties shall share the cost of the benchmarker in such proportions as the Parties agree (acting reasonably). Invoices by the benchmarker shall be raised against the Supplier and the relevant portion shall be reimbursed by the Buyer.</w:t>
      </w:r>
    </w:p>
    <w:p w:rsidR="00000000" w:rsidDel="00000000" w:rsidP="00000000" w:rsidRDefault="00000000" w:rsidRPr="00000000" w14:paraId="00000024">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4" w:hanging="360"/>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Benchmarking Process</w:t>
      </w:r>
    </w:p>
    <w:p w:rsidR="00000000" w:rsidDel="00000000" w:rsidP="00000000" w:rsidRDefault="00000000" w:rsidRPr="00000000" w14:paraId="00000025">
      <w:pPr>
        <w:keepNext w:val="1"/>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gjdgxs" w:id="1"/>
      <w:bookmarkEnd w:id="1"/>
      <w:r w:rsidDel="00000000" w:rsidR="00000000" w:rsidRPr="00000000">
        <w:rPr>
          <w:rFonts w:ascii="Arial" w:cs="Arial" w:eastAsia="Arial" w:hAnsi="Arial"/>
          <w:color w:val="000000"/>
          <w:sz w:val="24"/>
          <w:szCs w:val="24"/>
          <w:rtl w:val="0"/>
        </w:rPr>
        <w:t xml:space="preserve">The benchmarker shall produce and send to the Buyer, for Approval, a draft plan for the Benchmark Review which must include:</w:t>
      </w:r>
    </w:p>
    <w:p w:rsidR="00000000" w:rsidDel="00000000" w:rsidP="00000000" w:rsidRDefault="00000000" w:rsidRPr="00000000" w14:paraId="00000026">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proposed cost and timetable for the Benchmark Review;</w:t>
      </w:r>
    </w:p>
    <w:p w:rsidR="00000000" w:rsidDel="00000000" w:rsidP="00000000" w:rsidRDefault="00000000" w:rsidRPr="00000000" w14:paraId="00000027">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description of the benchmarking methodology to be used which must demonstrate that the methodology to be used is capable of fulfilling the benchmarking purpose; and</w:t>
      </w:r>
    </w:p>
    <w:p w:rsidR="00000000" w:rsidDel="00000000" w:rsidP="00000000" w:rsidRDefault="00000000" w:rsidRPr="00000000" w14:paraId="00000028">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 description of how the benchmarker will scope and identify the Comparison Group. </w:t>
      </w:r>
    </w:p>
    <w:p w:rsidR="00000000" w:rsidDel="00000000" w:rsidP="00000000" w:rsidRDefault="00000000" w:rsidRPr="00000000" w14:paraId="00000029">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30j0zll" w:id="2"/>
      <w:bookmarkEnd w:id="2"/>
      <w:r w:rsidDel="00000000" w:rsidR="00000000" w:rsidRPr="00000000">
        <w:rPr>
          <w:rFonts w:ascii="Arial" w:cs="Arial" w:eastAsia="Arial" w:hAnsi="Arial"/>
          <w:color w:val="000000"/>
          <w:sz w:val="24"/>
          <w:szCs w:val="24"/>
          <w:rtl w:val="0"/>
        </w:rPr>
        <w:t xml:space="preserve">The benchmarker, acting reasonably, shall be entitled to use any model to determine the achievement of value for money and to carry out the benchmarking. </w:t>
      </w:r>
    </w:p>
    <w:p w:rsidR="00000000" w:rsidDel="00000000" w:rsidP="00000000" w:rsidRDefault="00000000" w:rsidRPr="00000000" w14:paraId="0000002A">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1fob9te" w:id="3"/>
      <w:bookmarkEnd w:id="3"/>
      <w:r w:rsidDel="00000000" w:rsidR="00000000" w:rsidRPr="00000000">
        <w:rPr>
          <w:rFonts w:ascii="Arial" w:cs="Arial" w:eastAsia="Arial" w:hAnsi="Arial"/>
          <w:color w:val="000000"/>
          <w:sz w:val="24"/>
          <w:szCs w:val="24"/>
          <w:rtl w:val="0"/>
        </w:rPr>
        <w:t xml:space="preserve">The Buyer must give notice in writing to the Supplier within ten (10) Working Days after receiving the draft plan, advising the benchmarker and the Supplier whether it Approves the draft plan, or, if it does not approve the draft plan, suggesting amendments to that plan (which must be reasonable). If amendments are suggested then the benchmarker must produce an amended draft plan and this Paragraph 3.2.3 shall apply to any amended draft plan.</w:t>
      </w:r>
    </w:p>
    <w:p w:rsidR="00000000" w:rsidDel="00000000" w:rsidP="00000000" w:rsidRDefault="00000000" w:rsidRPr="00000000" w14:paraId="0000002B">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both Parties have approved the draft plan then they will notify the benchmarker.  No Party may unreasonably withhold or delay its Approval of the draft plan.</w:t>
      </w:r>
    </w:p>
    <w:p w:rsidR="00000000" w:rsidDel="00000000" w:rsidP="00000000" w:rsidRDefault="00000000" w:rsidRPr="00000000" w14:paraId="0000002C">
      <w:pPr>
        <w:keepNext w:val="1"/>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Once it has received the Approval of the draft plan, the benchmarker shall:</w:t>
      </w:r>
    </w:p>
    <w:p w:rsidR="00000000" w:rsidDel="00000000" w:rsidP="00000000" w:rsidRDefault="00000000" w:rsidRPr="00000000" w14:paraId="0000002D">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finalise the Comparison Group and collect data relating to Comparable Rates. The selection of the Comparable Rates (both in terms of number and identity) shall be a matter for the Supplier's professional judgment using:</w:t>
      </w:r>
    </w:p>
    <w:p w:rsidR="00000000" w:rsidDel="00000000" w:rsidP="00000000" w:rsidRDefault="00000000" w:rsidRPr="00000000" w14:paraId="0000002E">
      <w:pPr>
        <w:numPr>
          <w:ilvl w:val="4"/>
          <w:numId w:val="1"/>
        </w:numPr>
        <w:pBdr>
          <w:top w:space="0" w:sz="0" w:val="nil"/>
          <w:left w:space="0" w:sz="0" w:val="nil"/>
          <w:bottom w:space="0" w:sz="0" w:val="nil"/>
          <w:right w:space="0" w:sz="0" w:val="nil"/>
          <w:between w:space="0" w:sz="0" w:val="nil"/>
        </w:pBdr>
        <w:tabs>
          <w:tab w:val="left" w:pos="3119"/>
        </w:tabs>
        <w:spacing w:after="120" w:before="120" w:lineRule="auto"/>
        <w:ind w:left="1440" w:hanging="108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market intelligence;</w:t>
      </w:r>
    </w:p>
    <w:p w:rsidR="00000000" w:rsidDel="00000000" w:rsidP="00000000" w:rsidRDefault="00000000" w:rsidRPr="00000000" w14:paraId="0000002F">
      <w:pPr>
        <w:numPr>
          <w:ilvl w:val="4"/>
          <w:numId w:val="1"/>
        </w:numPr>
        <w:pBdr>
          <w:top w:space="0" w:sz="0" w:val="nil"/>
          <w:left w:space="0" w:sz="0" w:val="nil"/>
          <w:bottom w:space="0" w:sz="0" w:val="nil"/>
          <w:right w:space="0" w:sz="0" w:val="nil"/>
          <w:between w:space="0" w:sz="0" w:val="nil"/>
        </w:pBdr>
        <w:tabs>
          <w:tab w:val="left" w:pos="3119"/>
        </w:tabs>
        <w:spacing w:after="120" w:before="120" w:lineRule="auto"/>
        <w:ind w:left="1440" w:hanging="108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benchmarker’s own data and experience;</w:t>
      </w:r>
    </w:p>
    <w:p w:rsidR="00000000" w:rsidDel="00000000" w:rsidP="00000000" w:rsidRDefault="00000000" w:rsidRPr="00000000" w14:paraId="00000030">
      <w:pPr>
        <w:numPr>
          <w:ilvl w:val="4"/>
          <w:numId w:val="1"/>
        </w:numPr>
        <w:pBdr>
          <w:top w:space="0" w:sz="0" w:val="nil"/>
          <w:left w:space="0" w:sz="0" w:val="nil"/>
          <w:bottom w:space="0" w:sz="0" w:val="nil"/>
          <w:right w:space="0" w:sz="0" w:val="nil"/>
          <w:between w:space="0" w:sz="0" w:val="nil"/>
        </w:pBdr>
        <w:tabs>
          <w:tab w:val="left" w:pos="3119"/>
        </w:tabs>
        <w:spacing w:after="120" w:before="120" w:lineRule="auto"/>
        <w:ind w:left="1440" w:hanging="108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relevant published information; and</w:t>
      </w:r>
    </w:p>
    <w:p w:rsidR="00000000" w:rsidDel="00000000" w:rsidP="00000000" w:rsidRDefault="00000000" w:rsidRPr="00000000" w14:paraId="00000031">
      <w:pPr>
        <w:numPr>
          <w:ilvl w:val="4"/>
          <w:numId w:val="1"/>
        </w:numPr>
        <w:pBdr>
          <w:top w:space="0" w:sz="0" w:val="nil"/>
          <w:left w:space="0" w:sz="0" w:val="nil"/>
          <w:bottom w:space="0" w:sz="0" w:val="nil"/>
          <w:right w:space="0" w:sz="0" w:val="nil"/>
          <w:between w:space="0" w:sz="0" w:val="nil"/>
        </w:pBdr>
        <w:tabs>
          <w:tab w:val="left" w:pos="3119"/>
        </w:tabs>
        <w:spacing w:after="120" w:before="120" w:lineRule="auto"/>
        <w:ind w:left="1440" w:hanging="1080"/>
        <w:jc w:val="left"/>
        <w:rPr>
          <w:rFonts w:ascii="Arial" w:cs="Arial" w:eastAsia="Arial" w:hAnsi="Arial"/>
          <w:color w:val="000000"/>
          <w:sz w:val="24"/>
          <w:szCs w:val="24"/>
        </w:rPr>
      </w:pPr>
      <w:bookmarkStart w:colFirst="0" w:colLast="0" w:name="_heading=h.3znysh7" w:id="4"/>
      <w:bookmarkEnd w:id="4"/>
      <w:r w:rsidDel="00000000" w:rsidR="00000000" w:rsidRPr="00000000">
        <w:rPr>
          <w:rFonts w:ascii="Arial" w:cs="Arial" w:eastAsia="Arial" w:hAnsi="Arial"/>
          <w:color w:val="000000"/>
          <w:sz w:val="24"/>
          <w:szCs w:val="24"/>
          <w:rtl w:val="0"/>
        </w:rPr>
        <w:t xml:space="preserve">pursuant to Paragraph 3.2.6  below, information from other suppliers or purchasers on Comparable Rates;</w:t>
      </w:r>
    </w:p>
    <w:p w:rsidR="00000000" w:rsidDel="00000000" w:rsidP="00000000" w:rsidRDefault="00000000" w:rsidRPr="00000000" w14:paraId="00000032">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by applying the adjustment factors listed in Paragraph 3.2.7 and from an analysis of the Comparable Rates, derive the Equivalent Data;</w:t>
      </w:r>
    </w:p>
    <w:p w:rsidR="00000000" w:rsidDel="00000000" w:rsidP="00000000" w:rsidRDefault="00000000" w:rsidRPr="00000000" w14:paraId="00000033">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using the Equivalent Data, calculate the Upper Quartile;</w:t>
      </w:r>
    </w:p>
    <w:p w:rsidR="00000000" w:rsidDel="00000000" w:rsidP="00000000" w:rsidRDefault="00000000" w:rsidRPr="00000000" w14:paraId="00000034">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determine whether or not each Benchmarked Rate is, and/or the Benchmarked Rates as a whole are, Good Value.</w:t>
      </w:r>
    </w:p>
    <w:p w:rsidR="00000000" w:rsidDel="00000000" w:rsidP="00000000" w:rsidRDefault="00000000" w:rsidRPr="00000000" w14:paraId="00000035">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2et92p0" w:id="5"/>
      <w:bookmarkEnd w:id="5"/>
      <w:r w:rsidDel="00000000" w:rsidR="00000000" w:rsidRPr="00000000">
        <w:rPr>
          <w:rFonts w:ascii="Arial" w:cs="Arial" w:eastAsia="Arial" w:hAnsi="Arial"/>
          <w:color w:val="000000"/>
          <w:sz w:val="24"/>
          <w:szCs w:val="24"/>
          <w:rtl w:val="0"/>
        </w:rPr>
        <w:t xml:space="preserve">The Supplier shall use all reasonable endeavours and act in good faith to supply information required by the benchmarker in order to undertake the benchmarking.  The Supplier agrees to use its reasonable endeavours to obtain information from other suppliers or purchasers on Comparable Rates.</w:t>
      </w:r>
    </w:p>
    <w:p w:rsidR="00000000" w:rsidDel="00000000" w:rsidP="00000000" w:rsidRDefault="00000000" w:rsidRPr="00000000" w14:paraId="00000036">
      <w:pPr>
        <w:keepNext w:val="1"/>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bookmarkStart w:colFirst="0" w:colLast="0" w:name="_heading=h.tyjcwt" w:id="6"/>
      <w:bookmarkEnd w:id="6"/>
      <w:r w:rsidDel="00000000" w:rsidR="00000000" w:rsidRPr="00000000">
        <w:rPr>
          <w:rFonts w:ascii="Arial" w:cs="Arial" w:eastAsia="Arial" w:hAnsi="Arial"/>
          <w:color w:val="000000"/>
          <w:sz w:val="24"/>
          <w:szCs w:val="24"/>
          <w:rtl w:val="0"/>
        </w:rPr>
        <w:t xml:space="preserve">In carrying out the benchmarking analysis the benchmarker may have regard to the following matters when performing a comparative assessment of the Benchmarked Rates and the Comparable Rates in order to derive Equivalent Data:</w:t>
      </w:r>
    </w:p>
    <w:p w:rsidR="00000000" w:rsidDel="00000000" w:rsidP="00000000" w:rsidRDefault="00000000" w:rsidRPr="00000000" w14:paraId="00000037">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contractual terms and business environment under which the Comparable Rates are being provided (including the scale and geographical spread of the customers);</w:t>
      </w:r>
    </w:p>
    <w:p w:rsidR="00000000" w:rsidDel="00000000" w:rsidP="00000000" w:rsidRDefault="00000000" w:rsidRPr="00000000" w14:paraId="00000038">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exchange rates;</w:t>
      </w:r>
    </w:p>
    <w:p w:rsidR="00000000" w:rsidDel="00000000" w:rsidP="00000000" w:rsidRDefault="00000000" w:rsidRPr="00000000" w14:paraId="00000039">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any other factors reasonably identified by the Supplier, which, if not taken into consideration, could unfairly cause the Supplier's pricing to appear non-competitive.</w:t>
      </w:r>
    </w:p>
    <w:p w:rsidR="00000000" w:rsidDel="00000000" w:rsidP="00000000" w:rsidRDefault="00000000" w:rsidRPr="00000000" w14:paraId="0000003A">
      <w:pPr>
        <w:keepNext w:val="1"/>
        <w:numPr>
          <w:ilvl w:val="1"/>
          <w:numId w:val="1"/>
        </w:numPr>
        <w:pBdr>
          <w:top w:space="0" w:sz="0" w:val="nil"/>
          <w:left w:space="0" w:sz="0" w:val="nil"/>
          <w:bottom w:space="0" w:sz="0" w:val="nil"/>
          <w:right w:space="0" w:sz="0" w:val="nil"/>
          <w:between w:space="0" w:sz="0" w:val="nil"/>
        </w:pBdr>
        <w:tabs>
          <w:tab w:val="left" w:pos="1134"/>
        </w:tabs>
        <w:spacing w:after="120" w:before="120" w:lineRule="auto"/>
        <w:ind w:left="648" w:hanging="216"/>
        <w:jc w:val="left"/>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Benchmarking Report</w:t>
      </w:r>
    </w:p>
    <w:p w:rsidR="00000000" w:rsidDel="00000000" w:rsidP="00000000" w:rsidRDefault="00000000" w:rsidRPr="00000000" w14:paraId="0000003B">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For the purposes of this Schedule </w:t>
      </w:r>
      <w:r w:rsidDel="00000000" w:rsidR="00000000" w:rsidRPr="00000000">
        <w:rPr>
          <w:rFonts w:ascii="Arial" w:cs="Arial" w:eastAsia="Arial" w:hAnsi="Arial"/>
          <w:b w:val="1"/>
          <w:color w:val="000000"/>
          <w:sz w:val="24"/>
          <w:szCs w:val="24"/>
          <w:rtl w:val="0"/>
        </w:rPr>
        <w:t xml:space="preserve">"Benchmarking Report"</w:t>
      </w:r>
      <w:r w:rsidDel="00000000" w:rsidR="00000000" w:rsidRPr="00000000">
        <w:rPr>
          <w:rFonts w:ascii="Arial" w:cs="Arial" w:eastAsia="Arial" w:hAnsi="Arial"/>
          <w:color w:val="000000"/>
          <w:sz w:val="24"/>
          <w:szCs w:val="24"/>
          <w:rtl w:val="0"/>
        </w:rPr>
        <w:t xml:space="preserve"> shall mean the report produced by the benchmarker following the Benchmark Review and as further described in this Schedule;</w:t>
      </w:r>
    </w:p>
    <w:p w:rsidR="00000000" w:rsidDel="00000000" w:rsidP="00000000" w:rsidRDefault="00000000" w:rsidRPr="00000000" w14:paraId="0000003C">
      <w:pPr>
        <w:keepNext w:val="1"/>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benchmarker shall prepare a Benchmarking Report and deliver it to the Buyer, at the time specified in the plan Approved pursuant to Paragraph 3.2.3, setting out its findings.  Those findings shall be required to:</w:t>
      </w:r>
    </w:p>
    <w:p w:rsidR="00000000" w:rsidDel="00000000" w:rsidP="00000000" w:rsidRDefault="00000000" w:rsidRPr="00000000" w14:paraId="0000003D">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a finding as to whether or not a Benchmarked Service and/or whether the Benchmarked Deliverables as a whole are, Good Value;</w:t>
      </w:r>
    </w:p>
    <w:p w:rsidR="00000000" w:rsidDel="00000000" w:rsidP="00000000" w:rsidRDefault="00000000" w:rsidRPr="00000000" w14:paraId="0000003E">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if any of the Benchmarked Deliverables are, individually or as a whole, not Good Value, specify the changes that would be required to make that Benchmarked Service or the Benchmarked Deliverables as a whole Good Value; and </w:t>
      </w:r>
    </w:p>
    <w:p w:rsidR="00000000" w:rsidDel="00000000" w:rsidP="00000000" w:rsidRDefault="00000000" w:rsidRPr="00000000" w14:paraId="0000003F">
      <w:pPr>
        <w:numPr>
          <w:ilvl w:val="3"/>
          <w:numId w:val="1"/>
        </w:numPr>
        <w:pBdr>
          <w:top w:space="0" w:sz="0" w:val="nil"/>
          <w:left w:space="0" w:sz="0" w:val="nil"/>
          <w:bottom w:space="0" w:sz="0" w:val="nil"/>
          <w:right w:space="0" w:sz="0" w:val="nil"/>
          <w:between w:space="0" w:sz="0" w:val="nil"/>
        </w:pBdr>
        <w:tabs>
          <w:tab w:val="left" w:pos="1985"/>
        </w:tabs>
        <w:spacing w:after="120" w:before="120" w:lineRule="auto"/>
        <w:ind w:left="2563" w:hanging="720"/>
        <w:jc w:val="left"/>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include sufficient detail and transparency so that the Party requesting the Benchmarking can interpret and understand how the Supplier has calculated whether or not the Benchmarked Deliverables are, individually or as a whole, Good Value.</w:t>
      </w:r>
    </w:p>
    <w:p w:rsidR="00000000" w:rsidDel="00000000" w:rsidP="00000000" w:rsidRDefault="00000000" w:rsidRPr="00000000" w14:paraId="00000040">
      <w:pPr>
        <w:numPr>
          <w:ilvl w:val="2"/>
          <w:numId w:val="1"/>
        </w:numPr>
        <w:pBdr>
          <w:top w:space="0" w:sz="0" w:val="nil"/>
          <w:left w:space="0" w:sz="0" w:val="nil"/>
          <w:bottom w:space="0" w:sz="0" w:val="nil"/>
          <w:right w:space="0" w:sz="0" w:val="nil"/>
          <w:between w:space="0" w:sz="0" w:val="nil"/>
        </w:pBdr>
        <w:tabs>
          <w:tab w:val="left" w:pos="1985"/>
        </w:tabs>
        <w:spacing w:after="120" w:before="120" w:lineRule="auto"/>
        <w:ind w:left="2422" w:hanging="720"/>
        <w:jc w:val="left"/>
        <w:rPr>
          <w:rFonts w:ascii="Arial" w:cs="Arial" w:eastAsia="Arial" w:hAnsi="Arial"/>
          <w:color w:val="000000"/>
          <w:sz w:val="24"/>
          <w:szCs w:val="24"/>
        </w:rPr>
        <w:sectPr>
          <w:headerReference r:id="rId7" w:type="default"/>
          <w:headerReference r:id="rId8" w:type="first"/>
          <w:footerReference r:id="rId9" w:type="default"/>
          <w:footerReference r:id="rId10" w:type="first"/>
          <w:pgSz w:h="16838" w:w="11906" w:orient="portrait"/>
          <w:pgMar w:bottom="1440" w:top="1440" w:left="1440" w:right="1440" w:header="709" w:footer="709"/>
          <w:pgNumType w:start="1"/>
        </w:sectPr>
      </w:pPr>
      <w:r w:rsidDel="00000000" w:rsidR="00000000" w:rsidRPr="00000000">
        <w:rPr>
          <w:rFonts w:ascii="Arial" w:cs="Arial" w:eastAsia="Arial" w:hAnsi="Arial"/>
          <w:color w:val="000000"/>
          <w:sz w:val="24"/>
          <w:szCs w:val="24"/>
          <w:rtl w:val="0"/>
        </w:rPr>
        <w:t xml:space="preserve">The Parties agree that any changes required to this Contract identified in the Benchmarking Report shall be implemented at the direction of the Buyer in accordance with Clause 24 (Changing the contract).</w:t>
      </w:r>
    </w:p>
    <w:p w:rsidR="00000000" w:rsidDel="00000000" w:rsidP="00000000" w:rsidRDefault="00000000" w:rsidRPr="00000000" w14:paraId="00000041">
      <w:pPr>
        <w:pBdr>
          <w:top w:space="0" w:sz="0" w:val="nil"/>
          <w:left w:space="0" w:sz="0" w:val="nil"/>
          <w:bottom w:space="0" w:sz="0" w:val="nil"/>
          <w:right w:space="0" w:sz="0" w:val="nil"/>
          <w:between w:space="0" w:sz="0" w:val="nil"/>
        </w:pBdr>
        <w:tabs>
          <w:tab w:val="left" w:pos="1985"/>
        </w:tabs>
        <w:spacing w:after="120" w:before="120" w:lineRule="auto"/>
        <w:ind w:left="1656" w:hanging="720"/>
        <w:jc w:val="left"/>
        <w:rPr>
          <w:rFonts w:ascii="Arial" w:cs="Arial" w:eastAsia="Arial" w:hAnsi="Arial"/>
          <w:color w:val="000000"/>
          <w:sz w:val="24"/>
          <w:szCs w:val="24"/>
        </w:rPr>
      </w:pPr>
      <w:r w:rsidDel="00000000" w:rsidR="00000000" w:rsidRPr="00000000">
        <w:rPr>
          <w:rtl w:val="0"/>
        </w:rPr>
      </w:r>
    </w:p>
    <w:sectPr>
      <w:type w:val="nextPage"/>
      <w:pgSz w:h="16838" w:w="11906" w:orient="portrait"/>
      <w:pgMar w:bottom="1440" w:top="1440" w:left="1440" w:right="1440"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Arial Bold"/>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7">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w:t>
      <w:tab/>
      <w:t xml:space="preserve">                                           </w:t>
    </w:r>
  </w:p>
  <w:p w:rsidR="00000000" w:rsidDel="00000000" w:rsidP="00000000" w:rsidRDefault="00000000" w:rsidRPr="00000000" w14:paraId="00000048">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9">
    <w:pPr>
      <w:tabs>
        <w:tab w:val="center" w:pos="4513"/>
        <w:tab w:val="right" w:pos="9026"/>
      </w:tabs>
      <w:spacing w:after="0" w:lineRule="auto"/>
      <w:rPr/>
    </w:pPr>
    <w:r w:rsidDel="00000000" w:rsidR="00000000" w:rsidRPr="00000000">
      <w:rPr>
        <w:rFonts w:ascii="Arial" w:cs="Arial" w:eastAsia="Arial" w:hAnsi="Arial"/>
        <w:sz w:val="20"/>
        <w:szCs w:val="20"/>
        <w:rtl w:val="0"/>
      </w:rPr>
      <w:t xml:space="preserve">Model Version: v3.0</w:t>
      <w:tab/>
    </w:r>
    <w:r w:rsidDel="00000000" w:rsidR="00000000" w:rsidRPr="00000000">
      <w:rPr>
        <w:rtl w:val="0"/>
      </w:rPr>
      <w:tab/>
      <w:tab/>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A">
    <w:pPr>
      <w:tabs>
        <w:tab w:val="center" w:pos="4513"/>
        <w:tab w:val="right" w:pos="9026"/>
      </w:tabs>
      <w:spacing w:after="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B">
    <w:pPr>
      <w:tabs>
        <w:tab w:val="center" w:pos="4513"/>
        <w:tab w:val="right" w:pos="9026"/>
      </w:tabs>
      <w:spacing w:after="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Framework Ref: RM6174</w:t>
    </w:r>
  </w:p>
  <w:p w:rsidR="00000000" w:rsidDel="00000000" w:rsidP="00000000" w:rsidRDefault="00000000" w:rsidRPr="00000000" w14:paraId="0000004C">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Project Version: v1.0</w:t>
      <w:tab/>
      <w:tab/>
      <w:t xml:space="preserve"> </w:t>
    </w:r>
    <w:r w:rsidDel="00000000" w:rsidR="00000000" w:rsidRPr="00000000">
      <w:rPr>
        <w:rFonts w:ascii="Arial" w:cs="Arial" w:eastAsia="Arial" w:hAnsi="Arial"/>
        <w:color w:val="000000"/>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D">
    <w:pPr>
      <w:tabs>
        <w:tab w:val="center" w:pos="4513"/>
        <w:tab w:val="right" w:pos="9026"/>
      </w:tabs>
      <w:spacing w:after="0" w:lineRule="auto"/>
      <w:rPr/>
    </w:pPr>
    <w:r w:rsidDel="00000000" w:rsidR="00000000" w:rsidRPr="00000000">
      <w:rPr>
        <w:rFonts w:ascii="Arial" w:cs="Arial" w:eastAsia="Arial" w:hAnsi="Arial"/>
        <w:sz w:val="20"/>
        <w:szCs w:val="20"/>
        <w:rtl w:val="0"/>
      </w:rPr>
      <w:t xml:space="preserve">Model Version: v3.2</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2">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5714365</wp:posOffset>
          </wp:positionH>
          <wp:positionV relativeFrom="paragraph">
            <wp:posOffset>-13331</wp:posOffset>
          </wp:positionV>
          <wp:extent cx="849085" cy="685627"/>
          <wp:effectExtent b="0" l="0" r="0" t="0"/>
          <wp:wrapNone/>
          <wp:docPr descr="Crown Commercial Service" id="4" name="image1.png"/>
          <a:graphic>
            <a:graphicData uri="http://schemas.openxmlformats.org/drawingml/2006/picture">
              <pic:pic>
                <pic:nvPicPr>
                  <pic:cNvPr descr="Crown Commercial Service" id="0" name="image1.png"/>
                  <pic:cNvPicPr preferRelativeResize="0"/>
                </pic:nvPicPr>
                <pic:blipFill>
                  <a:blip r:embed="rId1"/>
                  <a:srcRect b="0" l="0" r="0" t="0"/>
                  <a:stretch>
                    <a:fillRect/>
                  </a:stretch>
                </pic:blipFill>
                <pic:spPr>
                  <a:xfrm>
                    <a:off x="0" y="0"/>
                    <a:ext cx="849085" cy="685627"/>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43">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b w:val="1"/>
        <w:sz w:val="20"/>
        <w:szCs w:val="20"/>
        <w:rtl w:val="0"/>
      </w:rPr>
      <w:t xml:space="preserve">Joint</w:t>
    </w:r>
    <w:r w:rsidDel="00000000" w:rsidR="00000000" w:rsidRPr="00000000">
      <w:rPr>
        <w:rFonts w:ascii="Arial" w:cs="Arial" w:eastAsia="Arial" w:hAnsi="Arial"/>
        <w:b w:val="1"/>
        <w:color w:val="000000"/>
        <w:sz w:val="20"/>
        <w:szCs w:val="20"/>
        <w:rtl w:val="0"/>
      </w:rPr>
      <w:t xml:space="preserve"> Schedule 1</w:t>
    </w:r>
    <w:r w:rsidDel="00000000" w:rsidR="00000000" w:rsidRPr="00000000">
      <w:rPr>
        <w:rFonts w:ascii="Arial" w:cs="Arial" w:eastAsia="Arial" w:hAnsi="Arial"/>
        <w:b w:val="1"/>
        <w:sz w:val="20"/>
        <w:szCs w:val="20"/>
        <w:rtl w:val="0"/>
      </w:rPr>
      <w:t xml:space="preserve">4</w:t>
    </w:r>
    <w:r w:rsidDel="00000000" w:rsidR="00000000" w:rsidRPr="00000000">
      <w:rPr>
        <w:rFonts w:ascii="Arial" w:cs="Arial" w:eastAsia="Arial" w:hAnsi="Arial"/>
        <w:b w:val="1"/>
        <w:color w:val="000000"/>
        <w:sz w:val="20"/>
        <w:szCs w:val="20"/>
        <w:rtl w:val="0"/>
      </w:rPr>
      <w:t xml:space="preserve"> (Benchmarking)</w:t>
    </w:r>
    <w:r w:rsidDel="00000000" w:rsidR="00000000" w:rsidRPr="00000000">
      <w:rPr>
        <w:rtl w:val="0"/>
      </w:rPr>
    </w:r>
  </w:p>
  <w:p w:rsidR="00000000" w:rsidDel="00000000" w:rsidP="00000000" w:rsidRDefault="00000000" w:rsidRPr="00000000" w14:paraId="00000044">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Call-Off Ref:</w:t>
    </w:r>
  </w:p>
  <w:p w:rsidR="00000000" w:rsidDel="00000000" w:rsidP="00000000" w:rsidRDefault="00000000" w:rsidRPr="00000000" w14:paraId="00000045">
    <w:pPr>
      <w:pBdr>
        <w:top w:space="0" w:sz="0" w:val="nil"/>
        <w:left w:space="0" w:sz="0" w:val="nil"/>
        <w:bottom w:space="0" w:sz="0" w:val="nil"/>
        <w:right w:space="0" w:sz="0" w:val="nil"/>
        <w:between w:space="0" w:sz="0" w:val="nil"/>
      </w:pBdr>
      <w:tabs>
        <w:tab w:val="center" w:pos="4513"/>
        <w:tab w:val="right" w:pos="9026"/>
      </w:tabs>
      <w:spacing w:after="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Crown Copyright 20</w:t>
    </w:r>
    <w:r w:rsidDel="00000000" w:rsidR="00000000" w:rsidRPr="00000000">
      <w:rPr>
        <w:rFonts w:ascii="Arial" w:cs="Arial" w:eastAsia="Arial" w:hAnsi="Arial"/>
        <w:sz w:val="20"/>
        <w:szCs w:val="20"/>
        <w:rtl w:val="0"/>
      </w:rPr>
      <w:t xml:space="preserve">21</w:t>
    </w:r>
    <w:r w:rsidDel="00000000" w:rsidR="00000000" w:rsidRPr="00000000">
      <w:rPr>
        <w:rtl w:val="0"/>
      </w:rPr>
    </w:r>
  </w:p>
  <w:p w:rsidR="00000000" w:rsidDel="00000000" w:rsidP="00000000" w:rsidRDefault="00000000" w:rsidRPr="00000000" w14:paraId="00000046">
    <w:pPr>
      <w:pBdr>
        <w:top w:space="0" w:sz="0" w:val="nil"/>
        <w:left w:space="0" w:sz="0" w:val="nil"/>
        <w:bottom w:space="0" w:sz="0" w:val="nil"/>
        <w:right w:space="0" w:sz="0" w:val="nil"/>
        <w:between w:space="0" w:sz="0" w:val="nil"/>
      </w:pBdr>
      <w:tabs>
        <w:tab w:val="center" w:pos="4513"/>
        <w:tab w:val="right" w:pos="9026"/>
      </w:tabs>
      <w:spacing w:after="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360" w:hanging="360"/>
      </w:pPr>
      <w:rPr>
        <w:rFonts w:ascii="Arial" w:cs="Arial" w:eastAsia="Arial" w:hAnsi="Arial"/>
        <w:b w:val="1"/>
        <w:i w:val="0"/>
        <w:smallCaps w:val="0"/>
        <w:strike w:val="0"/>
        <w:color w:val="000000"/>
        <w:sz w:val="24"/>
        <w:szCs w:val="24"/>
        <w:u w:val="none"/>
        <w:vertAlign w:val="baseline"/>
      </w:rPr>
    </w:lvl>
    <w:lvl w:ilvl="1">
      <w:start w:val="1"/>
      <w:numFmt w:val="decimal"/>
      <w:lvlText w:val="%1.%2"/>
      <w:lvlJc w:val="left"/>
      <w:pPr>
        <w:ind w:left="644" w:hanging="358.99999999999994"/>
      </w:pPr>
      <w:rPr>
        <w:rFonts w:ascii="Arial" w:cs="Arial" w:eastAsia="Arial" w:hAnsi="Arial"/>
        <w:b w:val="0"/>
        <w:i w:val="0"/>
        <w:smallCaps w:val="0"/>
        <w:strike w:val="0"/>
        <w:color w:val="000000"/>
        <w:sz w:val="24"/>
        <w:szCs w:val="24"/>
        <w:u w:val="none"/>
        <w:vertAlign w:val="baseline"/>
      </w:rPr>
    </w:lvl>
    <w:lvl w:ilvl="2">
      <w:start w:val="1"/>
      <w:numFmt w:val="decimal"/>
      <w:lvlText w:val="%1.%2.%3"/>
      <w:lvlJc w:val="left"/>
      <w:pPr>
        <w:ind w:left="2422" w:hanging="720"/>
      </w:pPr>
      <w:rPr>
        <w:rFonts w:ascii="Arial" w:cs="Arial" w:eastAsia="Arial" w:hAnsi="Arial"/>
        <w:b w:val="0"/>
        <w:i w:val="0"/>
        <w:smallCaps w:val="0"/>
        <w:strike w:val="0"/>
        <w:color w:val="000000"/>
        <w:sz w:val="24"/>
        <w:szCs w:val="24"/>
        <w:u w:val="none"/>
        <w:vertAlign w:val="baseline"/>
      </w:rPr>
    </w:lvl>
    <w:lvl w:ilvl="3">
      <w:start w:val="1"/>
      <w:numFmt w:val="lowerLetter"/>
      <w:lvlText w:val="(%4)"/>
      <w:lvlJc w:val="left"/>
      <w:pPr>
        <w:ind w:left="2563" w:hanging="720"/>
      </w:pPr>
      <w:rPr>
        <w:rFonts w:ascii="Calibri" w:cs="Calibri" w:eastAsia="Calibri" w:hAnsi="Calibri"/>
        <w:b w:val="0"/>
        <w:i w:val="0"/>
        <w:smallCaps w:val="0"/>
        <w:strike w:val="0"/>
        <w:color w:val="000000"/>
        <w:sz w:val="22"/>
        <w:szCs w:val="22"/>
        <w:u w:val="none"/>
        <w:vertAlign w:val="baseline"/>
      </w:rPr>
    </w:lvl>
    <w:lvl w:ilvl="4">
      <w:start w:val="1"/>
      <w:numFmt w:val="lowerRoman"/>
      <w:lvlText w:val="(%5)"/>
      <w:lvlJc w:val="left"/>
      <w:pPr>
        <w:ind w:left="1440" w:hanging="1080"/>
      </w:pPr>
      <w:rPr>
        <w:b w:val="0"/>
        <w:i w:val="0"/>
        <w:smallCaps w:val="0"/>
        <w:strike w:val="0"/>
        <w:color w:val="000000"/>
        <w:u w:val="none"/>
        <w:vertAlign w:val="baseline"/>
      </w:rPr>
    </w:lvl>
    <w:lvl w:ilvl="5">
      <w:start w:val="1"/>
      <w:numFmt w:val="upperLetter"/>
      <w:lvlText w:val="(%6)"/>
      <w:lvlJc w:val="left"/>
      <w:pPr>
        <w:ind w:left="1440" w:hanging="1080"/>
      </w:pPr>
      <w:rPr>
        <w:b w:val="0"/>
        <w:i w:val="0"/>
        <w:smallCaps w:val="0"/>
        <w:strike w:val="0"/>
        <w:color w:val="000000"/>
        <w:u w:val="none"/>
        <w:vertAlign w:val="baseline"/>
      </w:rPr>
    </w:lvl>
    <w:lvl w:ilvl="6">
      <w:start w:val="1"/>
      <w:numFmt w:val="decimal"/>
      <w:lvlText w:val="%1.%2.%3.%4.%5.%6.%7"/>
      <w:lvlJc w:val="left"/>
      <w:pPr>
        <w:ind w:left="1800" w:hanging="1440"/>
      </w:pPr>
      <w:rPr/>
    </w:lvl>
    <w:lvl w:ilvl="7">
      <w:start w:val="1"/>
      <w:numFmt w:val="decimal"/>
      <w:lvlText w:val="%1.%2.%3.%4.%5.%6.%7.%8"/>
      <w:lvlJc w:val="left"/>
      <w:pPr>
        <w:ind w:left="1800" w:hanging="1440"/>
      </w:pPr>
      <w:rPr/>
    </w:lvl>
    <w:lvl w:ilvl="8">
      <w:start w:val="1"/>
      <w:numFmt w:val="decimal"/>
      <w:lvlText w:val="%1.%2.%3.%4.%5.%6.%7.%8.%9"/>
      <w:lvlJc w:val="left"/>
      <w:pPr>
        <w:ind w:left="2160" w:hanging="1800"/>
      </w:pPr>
      <w:rPr/>
    </w:lvl>
  </w:abstractNum>
  <w:abstractNum w:abstractNumId="2">
    <w:lvl w:ilvl="0">
      <w:start w:val="1"/>
      <w:numFmt w:val="decimal"/>
      <w:lvlText w:val="%1"/>
      <w:lvlJc w:val="left"/>
      <w:pPr>
        <w:ind w:left="170" w:hanging="170"/>
      </w:pPr>
      <w:rPr>
        <w:rFonts w:ascii="Arial" w:cs="Arial" w:eastAsia="Arial" w:hAnsi="Arial"/>
        <w:sz w:val="22"/>
        <w:szCs w:val="22"/>
      </w:rPr>
    </w:lvl>
    <w:lvl w:ilvl="1">
      <w:start w:val="1"/>
      <w:numFmt w:val="lowerLetter"/>
      <w:lvlText w:val="%2)"/>
      <w:lvlJc w:val="left"/>
      <w:pPr>
        <w:ind w:left="720" w:hanging="360"/>
      </w:pPr>
      <w:rPr>
        <w:b w:val="0"/>
        <w:i w:val="0"/>
        <w:smallCaps w:val="0"/>
        <w:strike w:val="0"/>
        <w:color w:val="000000"/>
        <w:u w:val="none"/>
        <w:vertAlign w:val="baseline"/>
      </w:rPr>
    </w:lvl>
    <w:lvl w:ilvl="2">
      <w:start w:val="1"/>
      <w:numFmt w:val="lowerRoman"/>
      <w:lvlText w:val="%3)"/>
      <w:lvlJc w:val="left"/>
      <w:pPr>
        <w:ind w:left="1080" w:hanging="360"/>
      </w:pPr>
      <w:rPr>
        <w:rFonts w:ascii="Arial" w:cs="Arial" w:eastAsia="Arial" w:hAnsi="Arial"/>
        <w:sz w:val="22"/>
        <w:szCs w:val="22"/>
      </w:rPr>
    </w:lvl>
    <w:lvl w:ilvl="3">
      <w:start w:val="1"/>
      <w:numFmt w:val="decimal"/>
      <w:lvlText w:val="(%4)"/>
      <w:lvlJc w:val="left"/>
      <w:pPr>
        <w:ind w:left="1440" w:hanging="360"/>
      </w:pPr>
      <w:rPr/>
    </w:lvl>
    <w:lvl w:ilvl="4">
      <w:start w:val="1"/>
      <w:numFmt w:val="lowerLetter"/>
      <w:lvlText w:val="(%5)"/>
      <w:lvlJc w:val="left"/>
      <w:pPr>
        <w:ind w:left="1800" w:hanging="360"/>
      </w:pPr>
      <w:rPr/>
    </w:lvl>
    <w:lvl w:ilvl="5">
      <w:start w:val="1"/>
      <w:numFmt w:val="lowerRoman"/>
      <w:lvlText w:val="(%6)"/>
      <w:lvlJc w:val="left"/>
      <w:pPr>
        <w:ind w:left="2160" w:hanging="360"/>
      </w:pPr>
      <w:rPr/>
    </w:lvl>
    <w:lvl w:ilvl="6">
      <w:start w:val="1"/>
      <w:numFmt w:val="decimal"/>
      <w:lvlText w:val="%7"/>
      <w:lvlJc w:val="left"/>
      <w:pPr>
        <w:ind w:left="2520" w:hanging="360"/>
      </w:pPr>
      <w:rPr>
        <w:rFonts w:ascii="Arial" w:cs="Arial" w:eastAsia="Arial" w:hAnsi="Arial"/>
      </w:rPr>
    </w:lvl>
    <w:lvl w:ilvl="7">
      <w:start w:val="1"/>
      <w:numFmt w:val="lowerLetter"/>
      <w:lvlText w:val="%8."/>
      <w:lvlJc w:val="left"/>
      <w:pPr>
        <w:ind w:left="2880" w:hanging="360"/>
      </w:pPr>
      <w:rPr/>
    </w:lvl>
    <w:lvl w:ilvl="8">
      <w:start w:val="1"/>
      <w:numFmt w:val="lowerRoman"/>
      <w:lvlText w:val="%9."/>
      <w:lvlJc w:val="left"/>
      <w:pPr>
        <w:ind w:left="3240" w:hanging="360"/>
      </w:pPr>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40" w:lineRule="auto"/>
        <w:jc w:val="both"/>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pPr>
      <w:overflowPunct w:val="0"/>
      <w:autoSpaceDE w:val="0"/>
      <w:autoSpaceDN w:val="0"/>
      <w:adjustRightInd w:val="0"/>
      <w:textAlignment w:val="baseline"/>
    </w:pPr>
    <w:rPr>
      <w:rFonts w:cs="Arial" w:eastAsia="Times New Roman"/>
    </w:rPr>
  </w:style>
  <w:style w:type="paragraph" w:styleId="Heading1">
    <w:name w:val="heading 1"/>
    <w:basedOn w:val="Normal"/>
    <w:next w:val="Normal"/>
    <w:pPr>
      <w:keepNext w:val="1"/>
      <w:keepLines w:val="1"/>
      <w:spacing w:after="120" w:before="480"/>
      <w:outlineLvl w:val="0"/>
    </w:pPr>
    <w:rPr>
      <w:b w:val="1"/>
      <w:sz w:val="48"/>
      <w:szCs w:val="48"/>
    </w:rPr>
  </w:style>
  <w:style w:type="paragraph" w:styleId="Heading2">
    <w:name w:val="heading 2"/>
    <w:basedOn w:val="Normal"/>
    <w:next w:val="Normal"/>
    <w:pPr>
      <w:keepNext w:val="1"/>
      <w:keepLines w:val="1"/>
      <w:spacing w:after="80" w:before="360"/>
      <w:outlineLvl w:val="1"/>
    </w:pPr>
    <w:rPr>
      <w:b w:val="1"/>
      <w:sz w:val="36"/>
      <w:szCs w:val="36"/>
    </w:rPr>
  </w:style>
  <w:style w:type="paragraph" w:styleId="Heading3">
    <w:name w:val="heading 3"/>
    <w:basedOn w:val="Normal"/>
    <w:next w:val="Normal"/>
    <w:pPr>
      <w:keepNext w:val="1"/>
      <w:keepLines w:val="1"/>
      <w:spacing w:after="80" w:before="280"/>
      <w:outlineLvl w:val="2"/>
    </w:pPr>
    <w:rPr>
      <w:b w:val="1"/>
      <w:sz w:val="28"/>
      <w:szCs w:val="28"/>
    </w:rPr>
  </w:style>
  <w:style w:type="paragraph" w:styleId="Heading4">
    <w:name w:val="heading 4"/>
    <w:basedOn w:val="Normal"/>
    <w:next w:val="Normal"/>
    <w:pPr>
      <w:keepNext w:val="1"/>
      <w:keepLines w:val="1"/>
      <w:spacing w:after="40" w:before="240"/>
      <w:outlineLvl w:val="3"/>
    </w:pPr>
    <w:rPr>
      <w:b w:val="1"/>
      <w:sz w:val="24"/>
      <w:szCs w:val="24"/>
    </w:rPr>
  </w:style>
  <w:style w:type="paragraph" w:styleId="Heading5">
    <w:name w:val="heading 5"/>
    <w:basedOn w:val="Normal"/>
    <w:next w:val="Normal"/>
    <w:pPr>
      <w:keepNext w:val="1"/>
      <w:keepLines w:val="1"/>
      <w:spacing w:after="40" w:before="220"/>
      <w:outlineLvl w:val="4"/>
    </w:pPr>
    <w:rPr>
      <w:b w:val="1"/>
    </w:rPr>
  </w:style>
  <w:style w:type="paragraph" w:styleId="Heading6">
    <w:name w:val="heading 6"/>
    <w:basedOn w:val="Normal"/>
    <w:next w:val="Normal"/>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pPr>
      <w:keepNext w:val="1"/>
      <w:keepLines w:val="1"/>
      <w:spacing w:after="120" w:before="480"/>
    </w:pPr>
    <w:rPr>
      <w:b w:val="1"/>
      <w:sz w:val="72"/>
      <w:szCs w:val="72"/>
    </w:rPr>
  </w:style>
  <w:style w:type="paragraph" w:styleId="Header">
    <w:name w:val="header"/>
    <w:basedOn w:val="Normal"/>
    <w:link w:val="HeaderChar"/>
    <w:uiPriority w:val="99"/>
    <w:unhideWhenUsed w:val="1"/>
    <w:pPr>
      <w:tabs>
        <w:tab w:val="center" w:pos="4513"/>
        <w:tab w:val="right" w:pos="9026"/>
      </w:tabs>
      <w:spacing w:after="0"/>
    </w:pPr>
  </w:style>
  <w:style w:type="character" w:styleId="HeaderChar" w:customStyle="1">
    <w:name w:val="Header Char"/>
    <w:basedOn w:val="DefaultParagraphFont"/>
    <w:link w:val="Header"/>
    <w:uiPriority w:val="99"/>
  </w:style>
  <w:style w:type="paragraph" w:styleId="Footer">
    <w:name w:val="footer"/>
    <w:basedOn w:val="Normal"/>
    <w:link w:val="FooterChar"/>
    <w:uiPriority w:val="99"/>
    <w:unhideWhenUsed w:val="1"/>
    <w:pPr>
      <w:tabs>
        <w:tab w:val="center" w:pos="4513"/>
        <w:tab w:val="right" w:pos="9026"/>
      </w:tabs>
      <w:spacing w:after="0"/>
    </w:pPr>
  </w:style>
  <w:style w:type="character" w:styleId="FooterChar" w:customStyle="1">
    <w:name w:val="Footer Char"/>
    <w:basedOn w:val="DefaultParagraphFont"/>
    <w:link w:val="Footer"/>
    <w:uiPriority w:val="99"/>
  </w:style>
  <w:style w:type="character" w:styleId="Emphasis">
    <w:name w:val="Emphasis"/>
    <w:basedOn w:val="DefaultParagraphFont"/>
    <w:rPr>
      <w:i w:val="1"/>
      <w:iCs w:val="1"/>
    </w:rPr>
  </w:style>
  <w:style w:type="paragraph" w:styleId="GPSL1CLAUSEHEADING" w:customStyle="1">
    <w:name w:val="GPS L1 CLAUSE HEADING"/>
    <w:basedOn w:val="Normal"/>
    <w:next w:val="Normal"/>
    <w:link w:val="GPSL1CLAUSEHEADINGChar"/>
    <w:uiPriority w:val="99"/>
    <w:qFormat w:val="1"/>
    <w:pPr>
      <w:numPr>
        <w:numId w:val="4"/>
      </w:numPr>
      <w:tabs>
        <w:tab w:val="left" w:pos="142"/>
      </w:tabs>
      <w:overflowPunct w:val="1"/>
      <w:autoSpaceDE w:val="1"/>
      <w:autoSpaceDN w:val="1"/>
      <w:spacing w:before="120"/>
      <w:ind w:left="426" w:hanging="426"/>
      <w:textAlignment w:val="auto"/>
      <w:outlineLvl w:val="1"/>
    </w:pPr>
    <w:rPr>
      <w:rFonts w:eastAsia="STZhongsong"/>
      <w:b w:val="1"/>
      <w:caps w:val="1"/>
      <w:lang w:eastAsia="zh-CN"/>
    </w:rPr>
  </w:style>
  <w:style w:type="paragraph" w:styleId="GPSL3numberedclause" w:customStyle="1">
    <w:name w:val="GPS L3 numbered clause"/>
    <w:basedOn w:val="Normal"/>
    <w:link w:val="GPSL3numberedclauseChar"/>
    <w:qFormat w:val="1"/>
    <w:pPr>
      <w:numPr>
        <w:ilvl w:val="2"/>
        <w:numId w:val="4"/>
      </w:numPr>
      <w:tabs>
        <w:tab w:val="left" w:pos="1985"/>
      </w:tabs>
      <w:overflowPunct w:val="1"/>
      <w:autoSpaceDE w:val="1"/>
      <w:autoSpaceDN w:val="1"/>
      <w:spacing w:after="120" w:before="120"/>
      <w:ind w:left="1656"/>
      <w:textAlignment w:val="auto"/>
    </w:pPr>
    <w:rPr>
      <w:lang w:eastAsia="zh-CN"/>
    </w:rPr>
  </w:style>
  <w:style w:type="paragraph" w:styleId="GPSL4numberedclause" w:customStyle="1">
    <w:name w:val="GPS L4 numbered clause"/>
    <w:basedOn w:val="GPSL3numberedclause"/>
    <w:link w:val="GPSL4numberedclauseChar"/>
    <w:qFormat w:val="1"/>
    <w:pPr>
      <w:numPr>
        <w:ilvl w:val="3"/>
      </w:numPr>
      <w:tabs>
        <w:tab w:val="clear" w:pos="1985"/>
      </w:tabs>
      <w:ind w:left="2592" w:hanging="936"/>
    </w:pPr>
  </w:style>
  <w:style w:type="character" w:styleId="GPSL4numberedclauseChar" w:customStyle="1">
    <w:name w:val="GPS L4 numbered clause Char"/>
    <w:link w:val="GPSL4numberedclause"/>
    <w:locked w:val="1"/>
    <w:rPr>
      <w:rFonts w:ascii="Calibri" w:cs="Arial" w:eastAsia="Times New Roman" w:hAnsi="Calibri"/>
      <w:lang w:eastAsia="zh-CN"/>
    </w:rPr>
  </w:style>
  <w:style w:type="paragraph" w:styleId="GPSL5numberedclause" w:customStyle="1">
    <w:name w:val="GPS L5 numbered clause"/>
    <w:basedOn w:val="GPSL4numberedclause"/>
    <w:link w:val="GPSL5numberedclauseChar"/>
    <w:qFormat w:val="1"/>
    <w:pPr>
      <w:numPr>
        <w:ilvl w:val="4"/>
      </w:numPr>
      <w:tabs>
        <w:tab w:val="left" w:pos="3119"/>
      </w:tabs>
      <w:ind w:left="3119" w:hanging="567"/>
    </w:pPr>
  </w:style>
  <w:style w:type="paragraph" w:styleId="GPSL2NumberedBoldHeading" w:customStyle="1">
    <w:name w:val="GPS L2 Numbered Bold Heading"/>
    <w:basedOn w:val="Normal"/>
    <w:link w:val="GPSL2NumberedBoldHeadingChar"/>
    <w:qFormat w:val="1"/>
    <w:pPr>
      <w:numPr>
        <w:ilvl w:val="1"/>
        <w:numId w:val="4"/>
      </w:numPr>
      <w:tabs>
        <w:tab w:val="left" w:pos="1134"/>
      </w:tabs>
      <w:overflowPunct w:val="1"/>
      <w:autoSpaceDE w:val="1"/>
      <w:autoSpaceDN w:val="1"/>
      <w:spacing w:after="120" w:before="120"/>
      <w:ind w:hanging="218"/>
      <w:textAlignment w:val="auto"/>
    </w:pPr>
    <w:rPr>
      <w:b w:val="1"/>
      <w:lang w:eastAsia="zh-CN"/>
    </w:rPr>
  </w:style>
  <w:style w:type="paragraph" w:styleId="GPSL6numbered" w:customStyle="1">
    <w:name w:val="GPS L6 numbered"/>
    <w:basedOn w:val="GPSL5numberedclause"/>
    <w:uiPriority w:val="99"/>
    <w:qFormat w:val="1"/>
    <w:pPr>
      <w:numPr>
        <w:ilvl w:val="5"/>
      </w:numPr>
      <w:tabs>
        <w:tab w:val="num" w:pos="360"/>
        <w:tab w:val="left" w:pos="3686"/>
      </w:tabs>
      <w:ind w:left="3686" w:hanging="567"/>
    </w:pPr>
  </w:style>
  <w:style w:type="character" w:styleId="GPSL3numberedclauseChar" w:customStyle="1">
    <w:name w:val="GPS L3 numbered clause Char"/>
    <w:link w:val="GPSL3numberedclause"/>
    <w:locked w:val="1"/>
    <w:rPr>
      <w:rFonts w:cs="Arial" w:eastAsia="Times New Roman"/>
      <w:lang w:eastAsia="zh-CN"/>
    </w:rPr>
  </w:style>
  <w:style w:type="character" w:styleId="GPSL5numberedclauseChar" w:customStyle="1">
    <w:name w:val="GPS L5 numbered clause Char"/>
    <w:link w:val="GPSL5numberedclause"/>
    <w:locked w:val="1"/>
    <w:rPr>
      <w:rFonts w:ascii="Calibri" w:cs="Arial" w:eastAsia="Times New Roman" w:hAnsi="Calibri"/>
      <w:lang w:eastAsia="zh-CN"/>
    </w:rPr>
  </w:style>
  <w:style w:type="character" w:styleId="GPSL2NumberedBoldHeadingChar" w:customStyle="1">
    <w:name w:val="GPS L2 Numbered Bold Heading Char"/>
    <w:link w:val="GPSL2NumberedBoldHeading"/>
    <w:locked w:val="1"/>
    <w:rPr>
      <w:rFonts w:cs="Arial" w:eastAsia="Times New Roman"/>
      <w:b w:val="1"/>
      <w:lang w:eastAsia="zh-CN"/>
    </w:rPr>
  </w:style>
  <w:style w:type="paragraph" w:styleId="GPsDefinition" w:customStyle="1">
    <w:name w:val="GPs Definition"/>
    <w:basedOn w:val="Normal"/>
    <w:uiPriority w:val="99"/>
    <w:qFormat w:val="1"/>
    <w:pPr>
      <w:numPr>
        <w:numId w:val="3"/>
      </w:numPr>
      <w:tabs>
        <w:tab w:val="left" w:pos="175"/>
      </w:tabs>
      <w:spacing w:after="120"/>
    </w:pPr>
  </w:style>
  <w:style w:type="paragraph" w:styleId="GPSDefinitionL2" w:customStyle="1">
    <w:name w:val="GPS Definition L2"/>
    <w:basedOn w:val="GPsDefinition"/>
    <w:uiPriority w:val="99"/>
    <w:qFormat w:val="1"/>
    <w:pPr>
      <w:numPr>
        <w:ilvl w:val="1"/>
      </w:numPr>
      <w:ind w:hanging="544"/>
    </w:pPr>
  </w:style>
  <w:style w:type="paragraph" w:styleId="GPSDefinitionL3" w:customStyle="1">
    <w:name w:val="GPS Definition L3"/>
    <w:basedOn w:val="GPSDefinitionL2"/>
    <w:uiPriority w:val="99"/>
    <w:qFormat w:val="1"/>
    <w:pPr>
      <w:numPr>
        <w:ilvl w:val="2"/>
      </w:numPr>
    </w:pPr>
  </w:style>
  <w:style w:type="paragraph" w:styleId="GPSDefinitionL4" w:customStyle="1">
    <w:name w:val="GPS Definition L4"/>
    <w:basedOn w:val="GPSDefinitionL3"/>
    <w:uiPriority w:val="99"/>
    <w:qFormat w:val="1"/>
    <w:pPr>
      <w:numPr>
        <w:ilvl w:val="3"/>
      </w:numPr>
    </w:pPr>
  </w:style>
  <w:style w:type="paragraph" w:styleId="GPSDefinitionTerm" w:customStyle="1">
    <w:name w:val="GPS Definition Term"/>
    <w:basedOn w:val="Normal"/>
    <w:uiPriority w:val="99"/>
    <w:qFormat w:val="1"/>
    <w:pPr>
      <w:spacing w:after="120"/>
      <w:ind w:left="-108"/>
      <w:jc w:val="left"/>
    </w:pPr>
    <w:rPr>
      <w:b w:val="1"/>
    </w:rPr>
  </w:style>
  <w:style w:type="paragraph" w:styleId="GPSL1SCHEDULEHeading" w:customStyle="1">
    <w:name w:val="GPS L1 SCHEDULE Heading"/>
    <w:basedOn w:val="GPSL1CLAUSEHEADING"/>
    <w:link w:val="GPSL1SCHEDULEHeadingChar"/>
    <w:qFormat w:val="1"/>
    <w:pPr>
      <w:ind w:left="360" w:hanging="360"/>
      <w:outlineLvl w:val="9"/>
    </w:pPr>
  </w:style>
  <w:style w:type="paragraph" w:styleId="GPSmacrorestart" w:customStyle="1">
    <w:name w:val="GPS macro restart"/>
    <w:basedOn w:val="Normal"/>
    <w:qFormat w:val="1"/>
    <w:pPr>
      <w:spacing w:after="0"/>
    </w:pPr>
    <w:rPr>
      <w:color w:val="ffffff"/>
      <w:sz w:val="16"/>
      <w:szCs w:val="16"/>
    </w:rPr>
  </w:style>
  <w:style w:type="paragraph" w:styleId="GPSSchTitleandNumber" w:customStyle="1">
    <w:name w:val="GPS Sch Title and Number"/>
    <w:basedOn w:val="Normal"/>
    <w:link w:val="GPSSchTitleandNumberChar"/>
    <w:qFormat w:val="1"/>
    <w:pPr>
      <w:keepNext w:val="1"/>
      <w:overflowPunct w:val="1"/>
      <w:autoSpaceDE w:val="1"/>
      <w:autoSpaceDN w:val="1"/>
      <w:ind w:firstLine="426"/>
      <w:jc w:val="center"/>
      <w:textAlignment w:val="auto"/>
      <w:outlineLvl w:val="0"/>
    </w:pPr>
    <w:rPr>
      <w:rFonts w:ascii="Arial Bold" w:cs="Times New Roman" w:eastAsia="STZhongsong" w:hAnsi="Arial Bold"/>
      <w:b w:val="1"/>
      <w:caps w:val="1"/>
      <w:lang w:eastAsia="zh-CN"/>
    </w:rPr>
  </w:style>
  <w:style w:type="paragraph" w:styleId="GPSL2Numbered" w:customStyle="1">
    <w:name w:val="GPS L2 Numbered"/>
    <w:basedOn w:val="GPSL2NumberedBoldHeading"/>
    <w:link w:val="GPSL2NumberedChar"/>
    <w:qFormat w:val="1"/>
    <w:pPr>
      <w:tabs>
        <w:tab w:val="clear" w:pos="1134"/>
      </w:tabs>
      <w:ind w:left="936" w:hanging="576"/>
    </w:pPr>
    <w:rPr>
      <w:b w:val="0"/>
    </w:rPr>
  </w:style>
  <w:style w:type="character" w:styleId="GPSL2NumberedChar" w:customStyle="1">
    <w:name w:val="GPS L2 Numbered Char"/>
    <w:link w:val="GPSL2Numbered"/>
    <w:locked w:val="1"/>
    <w:rPr>
      <w:rFonts w:ascii="Calibri" w:cs="Arial" w:eastAsia="Times New Roman" w:hAnsi="Calibri"/>
      <w:lang w:eastAsia="zh-CN"/>
    </w:rPr>
  </w:style>
  <w:style w:type="character" w:styleId="GPSL1SCHEDULEHeadingChar" w:customStyle="1">
    <w:name w:val="GPS L1 SCHEDULE Heading Char"/>
    <w:link w:val="GPSL1SCHEDULEHeading"/>
    <w:locked w:val="1"/>
    <w:rPr>
      <w:rFonts w:ascii="Calibri" w:cs="Arial" w:eastAsia="STZhongsong" w:hAnsi="Calibri"/>
      <w:b w:val="1"/>
      <w:caps w:val="1"/>
      <w:lang w:eastAsia="zh-CN"/>
    </w:rPr>
  </w:style>
  <w:style w:type="character" w:styleId="GPSSchTitleandNumberChar" w:customStyle="1">
    <w:name w:val="GPS Sch Title and Number Char"/>
    <w:link w:val="GPSSchTitleandNumber"/>
    <w:locked w:val="1"/>
    <w:rPr>
      <w:rFonts w:ascii="Arial Bold" w:cs="Times New Roman" w:eastAsia="STZhongsong" w:hAnsi="Arial Bold"/>
      <w:b w:val="1"/>
      <w:caps w:val="1"/>
      <w:lang w:eastAsia="zh-CN"/>
    </w:rPr>
  </w:style>
  <w:style w:type="paragraph" w:styleId="GPSL2numberedclause" w:customStyle="1">
    <w:name w:val="GPS L2 numbered clause"/>
    <w:basedOn w:val="Normal"/>
    <w:link w:val="GPSL2numberedclauseChar1"/>
    <w:qFormat w:val="1"/>
    <w:pPr>
      <w:tabs>
        <w:tab w:val="left" w:pos="1134"/>
      </w:tabs>
      <w:overflowPunct w:val="1"/>
      <w:autoSpaceDE w:val="1"/>
      <w:autoSpaceDN w:val="1"/>
      <w:spacing w:after="120" w:before="120"/>
      <w:ind w:left="1134" w:hanging="567"/>
      <w:textAlignment w:val="auto"/>
    </w:pPr>
    <w:rPr>
      <w:lang w:eastAsia="zh-CN"/>
    </w:rPr>
  </w:style>
  <w:style w:type="character" w:styleId="GPSL2numberedclauseChar1" w:customStyle="1">
    <w:name w:val="GPS L2 numbered clause Char1"/>
    <w:link w:val="GPSL2numberedclause"/>
    <w:rPr>
      <w:rFonts w:ascii="Calibri" w:cs="Arial" w:eastAsia="Times New Roman" w:hAnsi="Calibri"/>
      <w:lang w:eastAsia="zh-CN"/>
    </w:rPr>
  </w:style>
  <w:style w:type="character" w:styleId="GPSL1CLAUSEHEADINGChar" w:customStyle="1">
    <w:name w:val="GPS L1 CLAUSE HEADING Char"/>
    <w:link w:val="GPSL1CLAUSEHEADING"/>
    <w:uiPriority w:val="99"/>
    <w:rPr>
      <w:rFonts w:cs="Arial" w:eastAsia="STZhongsong"/>
      <w:b w:val="1"/>
      <w:caps w:val="1"/>
      <w:lang w:eastAsia="zh-CN"/>
    </w:rPr>
  </w:style>
  <w:style w:type="character" w:styleId="CommentReference">
    <w:name w:val="annotation reference"/>
    <w:basedOn w:val="DefaultParagraphFont"/>
    <w:uiPriority w:val="99"/>
    <w:semiHidden w:val="1"/>
    <w:unhideWhenUsed w:val="1"/>
    <w:rPr>
      <w:sz w:val="16"/>
      <w:szCs w:val="16"/>
    </w:r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rFonts w:ascii="Calibri" w:cs="Arial" w:eastAsia="Times New Roman" w:hAnsi="Calibri"/>
      <w:sz w:val="20"/>
      <w:szCs w:val="20"/>
    </w:rPr>
  </w:style>
  <w:style w:type="paragraph" w:styleId="CommentSubject">
    <w:name w:val="annotation subject"/>
    <w:basedOn w:val="CommentText"/>
    <w:next w:val="CommentText"/>
    <w:link w:val="CommentSubjectChar"/>
    <w:uiPriority w:val="99"/>
    <w:semiHidden w:val="1"/>
    <w:unhideWhenUsed w:val="1"/>
    <w:rPr>
      <w:b w:val="1"/>
      <w:bCs w:val="1"/>
    </w:rPr>
  </w:style>
  <w:style w:type="character" w:styleId="CommentSubjectChar" w:customStyle="1">
    <w:name w:val="Comment Subject Char"/>
    <w:basedOn w:val="CommentTextChar"/>
    <w:link w:val="CommentSubject"/>
    <w:uiPriority w:val="99"/>
    <w:semiHidden w:val="1"/>
    <w:rPr>
      <w:rFonts w:ascii="Calibri" w:cs="Arial" w:eastAsia="Times New Roman" w:hAnsi="Calibri"/>
      <w:b w:val="1"/>
      <w:bCs w:val="1"/>
      <w:sz w:val="20"/>
      <w:szCs w:val="20"/>
    </w:rPr>
  </w:style>
  <w:style w:type="paragraph" w:styleId="BalloonText">
    <w:name w:val="Balloon Text"/>
    <w:basedOn w:val="Normal"/>
    <w:link w:val="BalloonTextChar"/>
    <w:uiPriority w:val="99"/>
    <w:semiHidden w:val="1"/>
    <w:unhideWhenUsed w:val="1"/>
    <w:pPr>
      <w:spacing w:after="0"/>
    </w:pPr>
    <w:rPr>
      <w:rFonts w:ascii="Tahoma" w:cs="Tahoma" w:hAnsi="Tahoma"/>
      <w:sz w:val="16"/>
      <w:szCs w:val="16"/>
    </w:rPr>
  </w:style>
  <w:style w:type="character" w:styleId="BalloonTextChar" w:customStyle="1">
    <w:name w:val="Balloon Text Char"/>
    <w:basedOn w:val="DefaultParagraphFont"/>
    <w:link w:val="BalloonText"/>
    <w:uiPriority w:val="99"/>
    <w:semiHidden w:val="1"/>
    <w:rPr>
      <w:rFonts w:ascii="Tahoma" w:cs="Tahoma" w:eastAsia="Times New Roman" w:hAnsi="Tahoma"/>
      <w:sz w:val="16"/>
      <w:szCs w:val="16"/>
    </w:rPr>
  </w:style>
  <w:style w:type="paragraph" w:styleId="Normal1" w:customStyle="1">
    <w:name w:val="Normal1"/>
    <w:pPr>
      <w:widowControl w:val="0"/>
      <w:spacing w:after="80"/>
    </w:pPr>
    <w:rPr>
      <w:color w:val="000000"/>
    </w:rPr>
  </w:style>
  <w:style w:type="table" w:styleId="TableGrid">
    <w:name w:val="Table Grid"/>
    <w:basedOn w:val="TableNormal"/>
    <w:uiPriority w:val="59"/>
    <w:pPr>
      <w:spacing w:after="0"/>
    </w:pPr>
    <w:rPr>
      <w:rFonts w:cs="Times New Roman"/>
      <w:color w:val="000000"/>
      <w:sz w:val="20"/>
      <w:szCs w:val="20"/>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Revision">
    <w:name w:val="Revision"/>
    <w:hidden w:val="1"/>
    <w:uiPriority w:val="99"/>
    <w:semiHidden w:val="1"/>
    <w:rsid w:val="004D49BE"/>
    <w:pPr>
      <w:spacing w:after="0"/>
    </w:pPr>
    <w:rPr>
      <w:rFonts w:cs="Arial" w:eastAsia="Times New Roman"/>
    </w:rPr>
  </w:style>
  <w:style w:type="paragraph" w:styleId="Subtitle">
    <w:name w:val="Subtitle"/>
    <w:basedOn w:val="Normal"/>
    <w:next w:val="Normal"/>
    <w:pPr>
      <w:keepNext w:val="1"/>
      <w:keepLines w:val="1"/>
      <w:spacing w:after="80" w:before="360"/>
    </w:pPr>
    <w:rPr>
      <w:rFonts w:ascii="Georgia" w:cs="Georgia" w:eastAsia="Georgia" w:hAnsi="Georgia"/>
      <w:i w:val="1"/>
      <w:color w:val="666666"/>
      <w:sz w:val="48"/>
      <w:szCs w:val="48"/>
    </w:rPr>
  </w:style>
  <w:style w:type="table" w:styleId="a" w:customStyle="1">
    <w:basedOn w:val="TableNormal"/>
    <w:tblPr>
      <w:tblStyleRowBandSize w:val="1"/>
      <w:tblStyleColBandSize w:val="1"/>
      <w:tblCellMar>
        <w:top w:w="100.0" w:type="dxa"/>
        <w:left w:w="100.0" w:type="dxa"/>
        <w:bottom w:w="100.0" w:type="dxa"/>
        <w:right w:w="100.0" w:type="dxa"/>
      </w:tblCellMar>
    </w:tblPr>
  </w:style>
  <w:style w:type="table" w:styleId="a0" w:customStyle="1">
    <w:basedOn w:val="TableNormal"/>
    <w:tblPr>
      <w:tblStyleRowBandSize w:val="1"/>
      <w:tblStyleColBandSize w:val="1"/>
      <w:tblCellMar>
        <w:left w:w="115.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2.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XemOAiMFyH4cdFKtJqeYJj+vtg==">AMUW2mWe9upntBKZYhURIHcjOZKLWrYxPRH0ZI1/nmMfhByuDbfpPvUgTdN15fWyqSQTxTG+ybiOektmgygId/Ud7nZx4VocGZrMR2ikPKNVPUblqseIDnTjkPdRkZg1yze8sju3vwjkhffOjx18mziXOA6D9zM9B7haEaGfPI3dUlmLOc7BRmq48EeTTU4F6URXf36U3PALzgPRdvW4UwZosHE97yzp7g==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2018-07-23T07:42:00Z</dcterms:creat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CurrentVersion">
    <vt:lpwstr>17 November 2017 D1V6</vt:lpwstr>
  </property>
</Properties>
</file>